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  <w:t>贵州省水利工程协会第五届</w:t>
      </w:r>
      <w:bookmarkStart w:id="0" w:name="_Toc29672"/>
      <w:bookmarkStart w:id="1" w:name="_Toc10385"/>
      <w:bookmarkStart w:id="2" w:name="_Toc300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  <w:t>常务理事会组成人员名单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（按姓氏笔画排序）</w:t>
      </w:r>
    </w:p>
    <w:tbl>
      <w:tblPr>
        <w:tblStyle w:val="2"/>
        <w:tblW w:w="84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394"/>
        <w:gridCol w:w="1466"/>
        <w:gridCol w:w="10"/>
        <w:gridCol w:w="4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中铁五局(集团)有限公司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邓阿孜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卢天文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申乾坤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飞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玛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贵州百胜工程建设咨询有限公司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许翔杰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贵州昱兴泰工程项目管理有限公司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贵州东方世纪科技股份有限公司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贵州中核水利水电建设有限责任公司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杨秀江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杨殿录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杨丽群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玮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中国电建集团贵阳勘测设计研究院有限公司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宫宝顺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季祥山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河南华北水电工程监理有限公司贵州分公司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贺新良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中铁五局集团贵州工程有限公司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伟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铜仁市水利电力建设管理站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军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雷世姣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53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59BB"/>
    <w:rsid w:val="3B7F4EF8"/>
    <w:rsid w:val="3FAD59BB"/>
    <w:rsid w:val="69560219"/>
    <w:rsid w:val="774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2020-10-20T09:05:00Z</dcterms:created>
  <dc:creator>刘涛</dc:creator>
  <cp:lastModifiedBy>刘涛</cp:lastModifiedBy>
  <dcterms:modified xsi:type="dcterms:W3CDTF">2020-10-20T09:20:09Z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